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FF" w:rsidRPr="00CD1EFF" w:rsidRDefault="00CD1EFF" w:rsidP="00CD1EFF">
      <w:pPr>
        <w:spacing w:after="163" w:line="408" w:lineRule="atLeast"/>
        <w:textAlignment w:val="baseline"/>
        <w:outlineLvl w:val="1"/>
        <w:rPr>
          <w:rFonts w:ascii="Arial" w:eastAsia="Times New Roman" w:hAnsi="Arial" w:cs="Arial"/>
          <w:color w:val="1A1A1A"/>
          <w:sz w:val="41"/>
          <w:szCs w:val="41"/>
          <w:lang w:eastAsia="hu-HU"/>
        </w:rPr>
      </w:pPr>
      <w:r w:rsidRPr="00CD1EFF">
        <w:rPr>
          <w:rFonts w:ascii="Arial" w:eastAsia="Times New Roman" w:hAnsi="Arial" w:cs="Arial"/>
          <w:color w:val="1A1A1A"/>
          <w:sz w:val="41"/>
          <w:szCs w:val="41"/>
          <w:lang w:eastAsia="hu-HU"/>
        </w:rPr>
        <w:t>Éves szöveges értékelés - BÁH 2008.</w:t>
      </w:r>
    </w:p>
    <w:p w:rsid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5"/>
          <w:lang w:eastAsia="hu-HU"/>
        </w:rPr>
      </w:pP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 xml:space="preserve">BEVÁNDORLÁSI </w:t>
      </w:r>
      <w:proofErr w:type="gramStart"/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ÉS</w:t>
      </w:r>
      <w:proofErr w:type="gramEnd"/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 xml:space="preserve"> ÁLLAMPOLGÁRSÁGI HIVATAL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Szám: 106-G-10853/     / 2009.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Szöveges értékelés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proofErr w:type="gramStart"/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a</w:t>
      </w:r>
      <w:proofErr w:type="gramEnd"/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 xml:space="preserve"> Bevándorlási és Állampolgársági Hivatal 2008. évi költségvetési beszámolójához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1. Feladatkör tevékenység: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Bevándorlási és Állampolgársági Hivatal a Magyar Köztársaság 2008. évi költségvetésről szóló 2007. évi CLXIX. törvényben a XIV. Igazságügyi és Rendészeti Minisztérium fejezetben 1000. önálló címként szerepelt.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 címhez 4 önállóan gazdálkodó, az előirányzatok feletti rendelkezés szempontjából teljes jogkörrel rendelkező intézmény tartozik.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1. Bevándorlási és Állampolgársági Hivatal                  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törzskönyvi azonosító:722744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2. Befogadó Állomás Békéscsaba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törzskönyvi azonosító: 720872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3. Befogadó Állomás Bicske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törzskönyvi azonosító: 720861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4. Befogadó Állomás Debrecen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törzskönyvi azonosító: 722612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Hivatal honlapjának címe: </w:t>
      </w:r>
      <w:hyperlink r:id="rId5" w:history="1">
        <w:r w:rsidRPr="00CD1EFF">
          <w:rPr>
            <w:rFonts w:ascii="Arial" w:eastAsia="Times New Roman" w:hAnsi="Arial" w:cs="Arial"/>
            <w:color w:val="3477BB"/>
            <w:sz w:val="18"/>
            <w:lang w:eastAsia="hu-HU"/>
          </w:rPr>
          <w:t>www.bevandorlas.hu</w:t>
        </w:r>
      </w:hyperlink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Bevándorlási és Állampolgársági Hivatal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szakmai tevékenysége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során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-  ellátja a magyar állampolgárságról szóló jogszabályokban hatáskörébe utalt feladatokat, valamint előkészíti az igazságügyi és rendészeti miniszter hatáskörébe tartozó állampolgársági döntéseket;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-  ellátja a hazai anyakönyvezéssel kapcsolatos, az anyakönyvekről, a házasságkötésről és a névviselésről szóló jogszabályokban megállapított feladatokat;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- idegenrendészeti hatóságként ellátja a jogszabályokban a hatáskörébe utalt idegenrendészeti feladatokat;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-  menekültügyi hatóságként ellátja a jogszabályokban a hatáskörébe utalt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</w:t>
      </w: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menekültügyi feladatokat;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 xml:space="preserve">-  központi vízumhatóságként kapcsolatot tart más schengeni államok központi hatóságaival, a 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SIS-jelzésekkel</w:t>
      </w:r>
      <w:proofErr w:type="spell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összefüggésekben megkereséssel él a nemzeti SIRENE iroda felé, illetve erre vonatkozó megkeresésekre reagál;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-  útlevélhatóságként ellátja a bevándorolt, letelepedett jogállású személy és hontalan úti okmányával kapcsolatos hatósági feladatokat, a menekültként elismert személyek kétnyelvű úti okmányával, az oltalmazottként elismert személyek úti okmányával, továbbá a menedékesek úti okmányával összefüggő hatósági feladatokat;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 xml:space="preserve">-  ellátja az 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országinformáció</w:t>
      </w:r>
      <w:proofErr w:type="spell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szolgáltatásért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</w:t>
      </w: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felelős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szerv (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országinformációs</w:t>
      </w:r>
      <w:proofErr w:type="spell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központ) jogszabályban meghatározott feladatait;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-  végrehajtja a migrációs tárgyú nemzetközi szerződésekből adódó feladatokat, felügyeli és koordinálja a visszafogadási egyezmények végrehajtását, engedélyezi a hatósági kísérettel történő átszállításokat;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-  kapcsolatot tart a migrációs kérdésekkel foglalkozó nemzetközi szervezetekkel.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A Hivatal 2008. évi tevékenységét a menedékjogról szóló 2007. évi LXXX. törvény (továbbiakban: 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Met</w:t>
      </w:r>
      <w:proofErr w:type="spell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) 2008. január 1-ei hatálybalépésével, valamint a hazai anyakönyvezéssel, továbbá a szabad mozgás és tartózkodás jogával rendelkező személyek beutazásáról és tartózkodásáról szóló 2007. évi I. törvény, valamint a harmadik országbeli állampolgárok beutazásáról és tartózkodásáról szóló 2007. év II. törvény és végrehajtási rendeleteinek </w:t>
      </w: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zökkenőmentes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alkalmazásával, a jogalkalmazás egységességének biztosításával, a schengeni csatlakozásból adódó sokrétű feladatok végrehajtása határozta meg.</w:t>
      </w:r>
    </w:p>
    <w:p w:rsidR="00CD1EFF" w:rsidRPr="00CD1EFF" w:rsidRDefault="00CD1EFF" w:rsidP="00CD1EFF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Az elmúlt évi tevékenységben prioritást kapott 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új menedékjogi jogszabályok végrehajtása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és ehhez kapcsolódóan 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intézményrendszer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teljes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átalakítása,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 menekültügyi és az idegenrendészeti szakterület együttműködésének összehangolása.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menekültügyi intézményrendszer új menedékjogi jogszabályoknak megfelelő átalakítása során, a költségvetési lehetőségekhez igazodó legtakarékosabb és legoptimálisabb megoldást választva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megoldottuk a befogadó állomások specializációját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. Ennek értelmében a Békéscsabai Befogadó Állomás az előzetes vizsgálat helyszíne, a Debreceni Befogadó Állomáson történik az érdemi eljárás, a Bicskei Befogadó Állomás felel az ügyfelek 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előintegrációjáért</w:t>
      </w:r>
      <w:proofErr w:type="spell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. Az új jogszabályokra tekintettel, az előszűrő állomás funkcióját ellátó Békéscsabai Befogadó Állomáson kialakítottuk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befogadás feltételeit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gondoskodnunk kellett 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őrzés-védelem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feltételeinek erősítéséről (nyílászárók vasráccsal való ellátása, főbejárati zsilipkapus rendszer kialakítása, kerítés magasítása), végrehajtottuk az ügyfelek befogadó állomások közötti átköltöztetését. A jogszabályi módosításokat követően Nagykanizsáról a Bicskei Befogadó Állomáson helyeztük el az egyre növekvő létszámú kísérő nélküli kiskorúakat. A befogadó állomások a csökkentett állományi létszámmal nehezen birkóznak meg a struktúraváltásból adódó feladatokkal, a növekvő ellátotti létszámmal különösen a szociális munka terén, erre tekintettel a központi státuszok terhére 3 fővel megnöveltük a szociális munkások, 1 fővel pedig a szakápolók számát.</w:t>
      </w:r>
    </w:p>
    <w:p w:rsidR="00CD1EFF" w:rsidRPr="00CD1EFF" w:rsidRDefault="00CD1EFF" w:rsidP="00CD1EFF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jogszabályi változásokkal     párhuzamosan, folyamatosan végeztük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Menekültügyi     Információs Rendszer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 koncepcionális átalakítását, felülvizsgáltuk és     fejlesztettük a menekültügyi statisztikai adatgyűjtési 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lastRenderedPageBreak/>
        <w:t>rendszert is.     Kidolgozásra került 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egységes     statisztikai lekérdező rendszer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összekapcsolásra került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tartózkodási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és 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IDTV rendszer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ezáltal egyszeri     adatrögzítést tudunk biztosítani.</w:t>
      </w:r>
    </w:p>
    <w:p w:rsidR="00CD1EFF" w:rsidRPr="00CD1EFF" w:rsidRDefault="00CD1EFF" w:rsidP="00CD1EFF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Az állampolgársági szakterület     vonatkozásában kiemelt feladatként kezeltük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hazai anyakönyvezés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területén felhalmozódott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ügyhátralék feldolgozását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     valamint a honosítási és a visszahonosítási ügyintézés során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döntés-előkészítő folyamatok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felgyorsítását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. A hazai     anyakönyvezési feladatok nagyságrendjére tekintettel a hazai anyakönyvi     osztály létszámát más szervezeti egységektől történt átcsoportosítással 7     fővel megerősítettük, emellett az év során folyamatosan éltünk a Ktv.     szabályai szerinti átirányítás lehetőségével. Erőfeszítéseink     eredményeként befejeztük a hazai anyakönyvezési feladatok 2007. évi     átvételével 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együttjáró</w:t>
      </w:r>
      <w:proofErr w:type="spell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tetemes ügyhátralék feldolgozását és biztosítani     tudtuk, hogy az ügyintézés a kérelmek számának jelentős mértékű növekedése     ellenére is alapvetően a törvényes határidőn belül történjen.</w:t>
      </w:r>
    </w:p>
    <w:p w:rsidR="00CD1EFF" w:rsidRPr="00CD1EFF" w:rsidRDefault="00CD1EFF" w:rsidP="00CD1EFF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schengeni térséghez történt     csatlakozás jelentős mértékben érintette a Hivatal vízumkiadással     kapcsolatos feladatait, melyek végrehajtása érdekében szervezet     korszerűsítést és jelentős informatikai fejlesztést kellett     végrehajtanunk. Kiépítettük a tagállamokkal történő együttműködés     feltételeit, amelynek eredményeként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schengeni     vízumkiadás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 követelményeknek megfelelően eredményesen folyik.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idegenrendészeti hatósági feladatok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ellátása során a fő figyelmet a szolgáltató jelleg erősítésére, a gyors ügyintézésre, emellett a jogsértő külföldiekkel szembeni hatékonyabb fellépésre fordítottuk.</w:t>
      </w:r>
    </w:p>
    <w:p w:rsidR="00CD1EFF" w:rsidRPr="00CD1EFF" w:rsidRDefault="00CD1EFF" w:rsidP="00CD1EFF">
      <w:pPr>
        <w:numPr>
          <w:ilvl w:val="0"/>
          <w:numId w:val="6"/>
        </w:numPr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Hivatal 2008-ban     menekültügyi-integrációs, idegenrendészeti és informatikai fejlesztési     célokat támogató uniós pályázatokra 32 projekt tervet nyújtott be, amelyek     többségét 2009-ben kell megvalósítanunk. Az elmúlt évben 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Európai Menekültügyi Alapból 7     projektet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valósítottunk meg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92     millió Ft</w:t>
      </w:r>
    </w:p>
    <w:p w:rsidR="00CD1EFF" w:rsidRPr="00CD1EFF" w:rsidRDefault="00CD1EFF" w:rsidP="00CD1EFF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összköltségvetéssel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. Ezek többsége a menekülteket befogadó     állomásokon került végrehajtásra, és az állomásokon elhelyezett külföldiek     életkörülményeinek javítását szolgálta.</w:t>
      </w:r>
    </w:p>
    <w:p w:rsidR="00CD1EFF" w:rsidRPr="00CD1EFF" w:rsidRDefault="00CD1EFF" w:rsidP="00CD1EFF">
      <w:pPr>
        <w:numPr>
          <w:ilvl w:val="0"/>
          <w:numId w:val="7"/>
        </w:numPr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Hivatal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szakmai feladatai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összességében 2008-ban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növekedtek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regisztrált iratforgalmunk meghaladta az 520     ezret.</w:t>
      </w:r>
    </w:p>
    <w:p w:rsidR="00CD1EFF" w:rsidRPr="00CD1EFF" w:rsidRDefault="00CD1EFF" w:rsidP="00CD1EF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2. A 2008. évi előirányzatok alakulása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Bevándorlási és Állampolgársági Hivatal részére az Országgyűlés 2008. évre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5.718,1 millió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Ft-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os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kiadási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5.463,7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-os állami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támogatási előirányzatot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és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254,4 millió Ft-os működési bevételi előírást 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állapított meg.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Év közben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Kormány döntése alapján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 központi költségvetésből cím szinten személyi juttatásokra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352,1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munkaadókat terhelő járulékokra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85,2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dologi kiadásokra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352,2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összesen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789,5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támogatásban részesültünk.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Fejezeti  hatáskörben  végrehajtott  módosítások  a  személyi  juttatásokat  és   járulékokat  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2,8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-tal emelték, a dologi kiadásoknál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10,9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-tal csökkentették a kiadási lehetőségeket.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Az előző évről áthozott lekötött pénzmaradványok, EMA támogatások, egyéb pénzeszköz átvételek a kiadási lehetőségünket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355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-tal növelték.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 módosítások együttes hatására a Hivatal 2008. évi módosított kiadási előirányzata meghaladta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6.853,9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-ot, mely az eredeti előirányzathoz viszonyítva 19,9 %-os növekedést mutat.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személyi juttatások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kiemelt kiadási előirányzata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2.968,5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a felhasználás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2.917,6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mely 98,5 %-os felhasználásnak felel meg. A kiemelt előirányzatban jelentkező maradvány a köztisztviselők teljesítményértékelése alapján kifizetett jutalmaknak a munkavállalókat terhelő adó és járuléklevonásaiból, a december havi tolmácsolási díjakból tevődik össze.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munkaadói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járulékok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felhasználása 95,3 %,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40,3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-os előirányzat maradvány a teljesítményértékelésre kifizetett jutalom után képződő lekötött keret.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dologi kiadásokra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fordítható források volumene meghaladta 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2.430,5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-ot, melyből a tényleges felhasználás összege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2.176,5 millió Ft.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Az előirányzat maradványt csökkenti a bevételi lemaradás, a tényleges előirányzat maradvány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72,0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mely teljes egészében kötelezettségvállalással terhelt.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befogadó állomásokon az átlagos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ellátotti létszám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 2007. évi bázishoz viszonyítva 673 főre,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42,5 %-kal növekedett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 dologi kiadások csak folyamatosan elrendelt és ellenőrzött takarékossági intézkedések mellett tudták biztosítani a befogadó állomások zavartalan működését.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A 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Met</w:t>
      </w:r>
      <w:proofErr w:type="spellEnd"/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.,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valamint annak végrehajtási rendelete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jelentős mértékben megemelte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illetve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kibővítette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az adható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pénzbeli ellátások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és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támogatások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összegét és körét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. A 2007. évhez viszonyítva   a   rendszeres  létfenntartási  támogatások  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43 %-kal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 a lakhatási támogatások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189 %-kal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az egységes letelepedési segélyek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63 %-kal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az egészségügyi ellátások költségei pedig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46 %-kal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emelkedtek. Tekintettel arra, hogy mindehhez a Hivatal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költségvetési többletforrást nem kapott,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csak rendkívül szigorú mérlegelés alapján és csak a legrászorultabbak esetén tudta biztosítani az igényelt támogatásokat.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 Hivatal részére biztosított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felhalmozási előirányzatok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 terhére valamennyi munkahelyen lecseréltük a 4 évnél 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lastRenderedPageBreak/>
        <w:t>idősebb számítógépeket, a munkahelyeket korszerű LCD monitorokkal láttuk el. A jogszabályi változások szükségessé tették az informatikai szakrendszerek felülvizsgálatát és módosítását, ennek megfelelően a Hivatal szoftverfejlesztésekre 2008-ban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24,0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-ot, gépek berendezések vásárlására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18,5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-ot, a hét évesnél idősebb gépjárművek amortizációs cseréjére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37,4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-ot fordított.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Békéscsabán és Debrecenben a befogadó állomások épületeinek külső hőszigetelésére, az alacsony hatásfokú fűtési rendszer korszerűsítésére került sor. Az elmúlt időszakban megkezdtük Egerben és Nyíregyházán az új ügyfélszolgálati iroda kivitelezését, valamint elkészült a Budafoki úton a korszerű melegítő konyha és étterem.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3. Bevételek alakulása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Hivatal bevételi eredeti előirányzata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 254,4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volt, a módosított előirányzat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535,4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a teljesítés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358,2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. A Hivatal hatósági tevékenysége során a jogszabályok szerint az eljárási díjakat illetékbélyegben kell leróni, a befogadó állomásokon elhelyezettek részére pedig ingyenesen kell az ellátást biztosítani. Az intézményi bevételünk így az alkalmazottak által fizetett díjakból, illetve a befogadó állomások konyhai szabad kapacitásának kihasználásából keletkezik, ezen bevételek azonban jelentősen alacsonyabbak, mint a bevételi előírásunk.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 bevételek között az egyik jelentős rész a pénzeszköz átvételek, melyek a Hivatal, mint az Európai Menekültügyi Alap Felelős Hatósága tevékenységéhez köthetők.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 másik jelentős rész a támogatásértékű bevétel, amely a pályázatokon nyert céloknak megfelelően került felhasználásra.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Az év végén az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egyensúlyi tartalékból 438,3 millió Ft-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tal részesültünk, melynek célja a 2009. költségvetési év tehermentesítése volt. A biztosított pénzeszközből megvettük a BKV bérleteket, étkezési utalványt rendeltünk előre, illetve bérleti díjakat fizettünk ki, és a befogadó állomásokon konzerveket, higiéniai eszközöket készleteztünk be.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Követelés állományunk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jelentősen csökkent,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329,0 millió Ft-ról 41,5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-ra. Ennek oka, hogy a korábbi években nyújtott pályáztatás alapján kifizetett Európai Menekültügyi Alap pályázatok lezárása megtörtént, a felhasznált támogatásokat elszámolható költségeknek ítéltük, a támogatási programok miatti követelések közül ezek kivezetésre kerültek.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Behajtási eljárást egy esetben indítottunk a Fővárosi Bíróságnál a jogtalanul felhasznált támogatás visszafizetésére, a pert a Hivatal jogerősen megnyerte, de pénzügyi teljesítés még nem történt, erre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értékvesztést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számoltunk el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916 ezer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értékben.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vevői követelésekre 286 ezer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értékvesztést számoltunk el, tekintettel arra, hogy ezek még 2007. évi tartozások voltak, és a többszöri felszólítás is eredménytelen maradt.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Behajthatatlan követelésként 3,8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-ot írtunk le, mivel a bírósági eljárások során a Hivatal részére megítélt perköltségeket (személyenként 5-20 ezer Ft közötti összeg) a külföldi állampolgárok háromszori felszólításra sem fizették be, ezeket az összeg nagyságára is tekintettel behajthatatlan követelésnek minősítettük.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4. Előirányzat maradvány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2007. évi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előirányzat maradvány 74,1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volt. Ebből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8,2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uniós pályázaton nyert pénzeszköz,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19,7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 bűnmegelőzési pályázaton nyert pénzeszköz maradványa volt, mely pályázat megvalósítási időszaka 2008. április 30-ig tartott.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2008. évi előirányzat maradvány 223,2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, melyből 1,8 millió Ft a Kormány által biztosított 2008. évi kereset kiegészítésből a fel nem használt, Hivatalt meg nem illető összeg. A maradványunk áthúzódó kötelezettségvállalással terhelt (szállítói kötelezettség, illetve a </w:t>
      </w: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2008. decemberében</w:t>
      </w:r>
      <w:proofErr w:type="gram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kifizetett nettó személyi juttatások levonásai).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5. Egyéb jogcímek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A 2008. évben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kincstári vagyonértékesítésre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a leselejtezett gépjárművek esetében közjegyző jelenlétében, az állami vagyon hasznosításának szabályai szerint került sor. Az ebből befolyt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8,1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-ot új közép kategóriás gépjármű beszerzésre fordítottuk, ezzel is csökkentve a gépjármű üzemeltetés költségeit.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 Hivatal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eszközeinek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bruttó értéke az év közbeni beszerzéseknek és felújításnak köszönhetően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289,2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-tal, térítésmentes átvétellel, illetve az előző években nem aktivált beruházások befejezésével további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104,3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-tal nőtt.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Az év során jelentős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selejtezést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hajtottunk végre, elsősorban a számítástechnikai és irodatechnikai gépek, berendezések esetében. Az így kivezetett bruttó érték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131,4 millió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a nettó érték lényegesen kevesebb </w:t>
      </w:r>
      <w:r w:rsidRPr="00CD1EFF">
        <w:rPr>
          <w:rFonts w:ascii="Arial" w:eastAsia="Times New Roman" w:hAnsi="Arial" w:cs="Arial"/>
          <w:b/>
          <w:bCs/>
          <w:color w:val="555555"/>
          <w:sz w:val="18"/>
          <w:lang w:eastAsia="hu-HU"/>
        </w:rPr>
        <w:t>100 ezer Ft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, tekintettel arra, hogy ezek a berendezések már teljesen „0"</w:t>
      </w:r>
      <w:proofErr w:type="spell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-ra</w:t>
      </w:r>
      <w:proofErr w:type="spellEnd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 xml:space="preserve"> leírt elhasználódott eszközök voltak.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Önálló lakásépítési számlával a Hivatal nem rendelkezik, és kincstári körön kívül vezetett számlája sincs.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Letéti számlával egyedül a Debreceni Befogadó Állomás rendelkezett az év elején, a számla év közben megszüntetésre került.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  <w:t>Budapest, 2009. április</w:t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br/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Dr. Végh Zsuzsanna</w:t>
      </w:r>
    </w:p>
    <w:p w:rsidR="00CD1EFF" w:rsidRPr="00CD1EFF" w:rsidRDefault="00CD1EFF" w:rsidP="00CD1E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proofErr w:type="gramStart"/>
      <w:r w:rsidRPr="00CD1EFF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főigazgató</w:t>
      </w:r>
      <w:proofErr w:type="gramEnd"/>
    </w:p>
    <w:p w:rsidR="00A303F0" w:rsidRDefault="00A303F0"/>
    <w:sectPr w:rsidR="00A303F0" w:rsidSect="00A3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510A"/>
    <w:multiLevelType w:val="multilevel"/>
    <w:tmpl w:val="5B6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845B2"/>
    <w:multiLevelType w:val="multilevel"/>
    <w:tmpl w:val="E268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B1A94"/>
    <w:multiLevelType w:val="multilevel"/>
    <w:tmpl w:val="A07A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30878"/>
    <w:multiLevelType w:val="multilevel"/>
    <w:tmpl w:val="17A4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16C73"/>
    <w:multiLevelType w:val="multilevel"/>
    <w:tmpl w:val="697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A5899"/>
    <w:multiLevelType w:val="multilevel"/>
    <w:tmpl w:val="68C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B537E"/>
    <w:multiLevelType w:val="multilevel"/>
    <w:tmpl w:val="BEBA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hyphenationZone w:val="425"/>
  <w:characterSpacingControl w:val="doNotCompress"/>
  <w:compat/>
  <w:rsids>
    <w:rsidRoot w:val="00CD1EFF"/>
    <w:rsid w:val="00097B10"/>
    <w:rsid w:val="00284EBE"/>
    <w:rsid w:val="003310EC"/>
    <w:rsid w:val="005C498D"/>
    <w:rsid w:val="00A303F0"/>
    <w:rsid w:val="00A84515"/>
    <w:rsid w:val="00C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3F0"/>
  </w:style>
  <w:style w:type="paragraph" w:styleId="Cmsor2">
    <w:name w:val="heading 2"/>
    <w:basedOn w:val="Norml"/>
    <w:link w:val="Cmsor2Char"/>
    <w:uiPriority w:val="9"/>
    <w:qFormat/>
    <w:rsid w:val="00CD1EF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D1EFF"/>
    <w:rPr>
      <w:rFonts w:eastAsia="Times New Roman"/>
      <w:b/>
      <w:bCs/>
      <w:sz w:val="36"/>
      <w:szCs w:val="36"/>
      <w:lang w:eastAsia="hu-HU"/>
    </w:rPr>
  </w:style>
  <w:style w:type="character" w:customStyle="1" w:styleId="itemtextresizertitle">
    <w:name w:val="itemtextresizertitle"/>
    <w:basedOn w:val="Bekezdsalapbettpusa"/>
    <w:rsid w:val="00CD1EFF"/>
  </w:style>
  <w:style w:type="character" w:styleId="Hiperhivatkozs">
    <w:name w:val="Hyperlink"/>
    <w:basedOn w:val="Bekezdsalapbettpusa"/>
    <w:uiPriority w:val="99"/>
    <w:semiHidden/>
    <w:unhideWhenUsed/>
    <w:rsid w:val="00CD1EF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D1EFF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Kiemels2">
    <w:name w:val="Strong"/>
    <w:basedOn w:val="Bekezdsalapbettpusa"/>
    <w:uiPriority w:val="22"/>
    <w:qFormat/>
    <w:rsid w:val="00CD1EF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1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16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vandorlas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1884</Words>
  <Characters>13000</Characters>
  <Application>Microsoft Office Word</Application>
  <DocSecurity>0</DocSecurity>
  <Lines>108</Lines>
  <Paragraphs>29</Paragraphs>
  <ScaleCrop>false</ScaleCrop>
  <Company>BAH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bh0108bk</dc:creator>
  <cp:lastModifiedBy>bh0108bk</cp:lastModifiedBy>
  <cp:revision>1</cp:revision>
  <dcterms:created xsi:type="dcterms:W3CDTF">2024-09-30T14:54:00Z</dcterms:created>
  <dcterms:modified xsi:type="dcterms:W3CDTF">2024-09-30T14:54:00Z</dcterms:modified>
</cp:coreProperties>
</file>